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6EBAB44" w14:textId="5A161CBA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D590149" w14:textId="7A930EB4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77777777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44AA8CD0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874AEB">
        <w:rPr>
          <w:rFonts w:ascii="Times New Roman" w:hAnsi="Times New Roman"/>
          <w:b/>
          <w:sz w:val="24"/>
          <w:szCs w:val="24"/>
        </w:rPr>
        <w:t>4</w:t>
      </w:r>
      <w:r w:rsidR="006A194E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AF39464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74AEB">
        <w:rPr>
          <w:rFonts w:ascii="Times New Roman" w:hAnsi="Times New Roman"/>
          <w:sz w:val="24"/>
          <w:szCs w:val="24"/>
        </w:rPr>
        <w:t>2</w:t>
      </w:r>
      <w:r w:rsidR="006A194E">
        <w:rPr>
          <w:rFonts w:ascii="Times New Roman" w:hAnsi="Times New Roman"/>
          <w:sz w:val="24"/>
          <w:szCs w:val="24"/>
        </w:rPr>
        <w:t>4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января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5BF1621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9655B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5D5ECC98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835A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5B8FFC00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175976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80049" w:rsidRPr="00F77093" w14:paraId="24C97608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8D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95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EBC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0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7FEC8037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3A30086B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26867B7" w:rsidR="00B12885" w:rsidRPr="00055C96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38405A" w:rsidR="00B12885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3FF9C608" w:rsidR="00B12885" w:rsidRPr="00FE1ECE" w:rsidRDefault="0017597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1F1D116" w14:textId="77777777" w:rsidR="00255DF9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4EF1202" w14:textId="77777777" w:rsidR="00E041EC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60F1567B" w14:textId="6A4498A0" w:rsidR="000D6A0B" w:rsidRPr="004702E5" w:rsidRDefault="00E041EC" w:rsidP="004702E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175976" w:rsidRPr="00175976">
        <w:rPr>
          <w:rFonts w:ascii="Times New Roman" w:hAnsi="Times New Roman"/>
          <w:sz w:val="24"/>
          <w:szCs w:val="24"/>
        </w:rPr>
        <w:t>85,7</w:t>
      </w:r>
      <w:r w:rsidR="002D013C" w:rsidRPr="00175976">
        <w:rPr>
          <w:rFonts w:ascii="Times New Roman" w:hAnsi="Times New Roman"/>
          <w:sz w:val="24"/>
          <w:szCs w:val="24"/>
        </w:rPr>
        <w:t xml:space="preserve"> %</w:t>
      </w:r>
      <w:r w:rsidRPr="00175976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421FA05F" w14:textId="2E5D96E4" w:rsidR="000D6A0B" w:rsidRPr="0022426B" w:rsidRDefault="00EF0E93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0D6A0B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</w:t>
      </w:r>
      <w:bookmarkStart w:id="0" w:name="_GoBack"/>
      <w:bookmarkEnd w:id="0"/>
      <w:r w:rsidR="000D6A0B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0D6A0B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47DAA848" w14:textId="6CDCCDCD" w:rsidR="009D6898" w:rsidRPr="00DB401A" w:rsidRDefault="009D6898" w:rsidP="009D689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7991CEB2" w14:textId="10FA9E6A" w:rsidR="00484276" w:rsidRPr="006A194E" w:rsidRDefault="00462F95" w:rsidP="006A194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7726393442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13FFA7" w14:textId="77777777" w:rsidR="003F17AC" w:rsidRPr="003652E3" w:rsidRDefault="003F17AC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A7EF85" w14:textId="751DB47F" w:rsidR="000D6A0B" w:rsidRPr="00BB6851" w:rsidRDefault="00EF0E93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0D6A0B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68C72EC4" w14:textId="77777777" w:rsidR="00462F95" w:rsidRPr="000D6A0B" w:rsidRDefault="00462F95" w:rsidP="0046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4FD87A" w14:textId="54BA58CD" w:rsidR="00874AEB" w:rsidRPr="00DB401A" w:rsidRDefault="006A194E" w:rsidP="0087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74AEB">
        <w:rPr>
          <w:rFonts w:ascii="Times New Roman" w:hAnsi="Times New Roman"/>
          <w:bCs/>
          <w:sz w:val="24"/>
          <w:szCs w:val="24"/>
        </w:rPr>
        <w:t xml:space="preserve">.  </w:t>
      </w:r>
      <w:r w:rsidR="00874AEB">
        <w:rPr>
          <w:rFonts w:ascii="Times New Roman" w:hAnsi="Times New Roman"/>
          <w:bCs/>
          <w:sz w:val="24"/>
          <w:szCs w:val="24"/>
        </w:rPr>
        <w:tab/>
      </w:r>
      <w:r w:rsidR="00874AEB"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6A194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6A194E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6A194E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6A194E">
        <w:rPr>
          <w:rFonts w:ascii="Times New Roman" w:hAnsi="Times New Roman"/>
          <w:color w:val="000000" w:themeColor="text1"/>
          <w:sz w:val="24"/>
          <w:szCs w:val="24"/>
        </w:rPr>
        <w:t>7726393442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74AEB" w:rsidRPr="00414814">
        <w:rPr>
          <w:rFonts w:ascii="Times New Roman" w:hAnsi="Times New Roman"/>
          <w:sz w:val="24"/>
          <w:szCs w:val="24"/>
        </w:rPr>
        <w:t xml:space="preserve"> </w:t>
      </w:r>
      <w:r w:rsidR="00874AEB" w:rsidRPr="00414814">
        <w:rPr>
          <w:rFonts w:ascii="Times New Roman" w:hAnsi="Times New Roman"/>
          <w:bCs/>
          <w:sz w:val="24"/>
          <w:szCs w:val="24"/>
        </w:rPr>
        <w:t>присвоено право</w:t>
      </w:r>
      <w:r w:rsidR="00874AEB">
        <w:rPr>
          <w:rFonts w:ascii="Times New Roman" w:hAnsi="Times New Roman"/>
          <w:bCs/>
          <w:sz w:val="24"/>
          <w:szCs w:val="24"/>
        </w:rPr>
        <w:t xml:space="preserve"> </w:t>
      </w:r>
      <w:r w:rsidR="00874AEB" w:rsidRPr="00DB401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не превышает </w:t>
      </w:r>
      <w:r w:rsidR="00874AEB">
        <w:rPr>
          <w:rFonts w:ascii="Times New Roman" w:hAnsi="Times New Roman"/>
          <w:sz w:val="24"/>
          <w:szCs w:val="24"/>
        </w:rPr>
        <w:t>6</w:t>
      </w:r>
      <w:r w:rsidR="00874AEB" w:rsidRPr="00DB401A">
        <w:rPr>
          <w:rFonts w:ascii="Times New Roman" w:hAnsi="Times New Roman"/>
          <w:sz w:val="24"/>
          <w:szCs w:val="24"/>
        </w:rPr>
        <w:t>0 млн. рублей (</w:t>
      </w:r>
      <w:r w:rsidR="00874AEB">
        <w:rPr>
          <w:rFonts w:ascii="Times New Roman" w:hAnsi="Times New Roman"/>
          <w:sz w:val="24"/>
          <w:szCs w:val="24"/>
        </w:rPr>
        <w:t>первый</w:t>
      </w:r>
      <w:r w:rsidR="00874AEB" w:rsidRPr="00DB401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6C308C72" w14:textId="2D38BFEB" w:rsidR="00874AEB" w:rsidRPr="00414814" w:rsidRDefault="00874AEB" w:rsidP="0087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A194E">
        <w:rPr>
          <w:rFonts w:ascii="Times New Roman" w:hAnsi="Times New Roman"/>
          <w:sz w:val="24"/>
          <w:szCs w:val="24"/>
        </w:rPr>
        <w:t>1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7726393442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5713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1D88E03C" w14:textId="688D8959" w:rsidR="00874AEB" w:rsidRPr="00414814" w:rsidRDefault="00874AEB" w:rsidP="0087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6A194E">
        <w:rPr>
          <w:rFonts w:ascii="Times New Roman" w:hAnsi="Times New Roman"/>
          <w:bCs/>
          <w:sz w:val="24"/>
          <w:szCs w:val="24"/>
        </w:rPr>
        <w:t>1</w:t>
      </w:r>
      <w:r w:rsidRPr="00414814">
        <w:rPr>
          <w:rFonts w:ascii="Times New Roman" w:hAnsi="Times New Roman"/>
          <w:bCs/>
          <w:sz w:val="24"/>
          <w:szCs w:val="24"/>
        </w:rPr>
        <w:t>.2.</w:t>
      </w:r>
      <w:r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7726393442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2C0AFAB9" w14:textId="7F6B9393" w:rsidR="00874AEB" w:rsidRDefault="00874AEB" w:rsidP="0087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6A194E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6A194E">
        <w:rPr>
          <w:rFonts w:ascii="Times New Roman" w:hAnsi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A194E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A194E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6A194E" w:rsidRPr="006A194E">
        <w:rPr>
          <w:rFonts w:ascii="Times New Roman" w:hAnsi="Times New Roman"/>
          <w:color w:val="000000" w:themeColor="text1"/>
          <w:sz w:val="24"/>
          <w:szCs w:val="24"/>
        </w:rPr>
        <w:t>7726393442</w:t>
      </w:r>
      <w:r w:rsidR="006A19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1BEB128D" w14:textId="77777777" w:rsidR="002F4F6C" w:rsidRDefault="002F4F6C" w:rsidP="0087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40FA77" w14:textId="77777777" w:rsidR="00105FB4" w:rsidRPr="00903276" w:rsidRDefault="00105FB4" w:rsidP="00D1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ACF72F8" w14:textId="625337AD" w:rsidR="00F94ADC" w:rsidRPr="006A194E" w:rsidRDefault="00462F95" w:rsidP="006A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17597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240127E8" w14:textId="5B64B6B0" w:rsidR="00F94ADC" w:rsidRDefault="00F94ADC" w:rsidP="00F5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C15BBF" w14:textId="77777777" w:rsidR="00F94ADC" w:rsidRDefault="00F94ADC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7FD19D" w14:textId="77777777" w:rsidR="00F03378" w:rsidRPr="00903276" w:rsidRDefault="00F03378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5FE6AB" w14:textId="409D2AA6" w:rsidR="000D6A0B" w:rsidRDefault="00EF0E93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D6A0B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E5EFA29" w14:textId="77777777" w:rsidR="009D6898" w:rsidRPr="00903276" w:rsidRDefault="009D6898" w:rsidP="009D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83F3F37" w14:textId="292EB452" w:rsidR="00C6600A" w:rsidRPr="004153EC" w:rsidRDefault="006A194E" w:rsidP="00C6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88209906"/>
      <w:r>
        <w:rPr>
          <w:rFonts w:ascii="Times New Roman" w:hAnsi="Times New Roman"/>
          <w:color w:val="000000"/>
          <w:sz w:val="24"/>
          <w:szCs w:val="24"/>
        </w:rPr>
        <w:t>1</w:t>
      </w:r>
      <w:r w:rsidR="00C6600A" w:rsidRPr="002A777A">
        <w:rPr>
          <w:rFonts w:ascii="Times New Roman" w:hAnsi="Times New Roman"/>
          <w:color w:val="000000"/>
          <w:sz w:val="24"/>
          <w:szCs w:val="24"/>
        </w:rPr>
        <w:t>.</w:t>
      </w:r>
      <w:r w:rsidR="00C6600A" w:rsidRPr="002A777A">
        <w:rPr>
          <w:rFonts w:ascii="Times New Roman" w:hAnsi="Times New Roman"/>
          <w:color w:val="000000"/>
          <w:sz w:val="24"/>
          <w:szCs w:val="24"/>
        </w:rPr>
        <w:tab/>
      </w:r>
      <w:r w:rsidR="00C6600A"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C6600A" w:rsidRPr="002A777A">
        <w:rPr>
          <w:rFonts w:ascii="Times New Roman" w:hAnsi="Times New Roman"/>
          <w:sz w:val="24"/>
          <w:szCs w:val="24"/>
        </w:rPr>
        <w:br/>
      </w:r>
      <w:r w:rsidR="00E36509" w:rsidRPr="006A194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E36509" w:rsidRPr="006A194E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="00E36509" w:rsidRPr="006A194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36509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E36509" w:rsidRPr="006A194E">
        <w:rPr>
          <w:rFonts w:ascii="Times New Roman" w:hAnsi="Times New Roman"/>
          <w:color w:val="000000" w:themeColor="text1"/>
          <w:sz w:val="24"/>
          <w:szCs w:val="24"/>
        </w:rPr>
        <w:t>7726393442</w:t>
      </w:r>
      <w:r w:rsidR="00E3650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6600A" w:rsidRPr="00A876C2">
        <w:rPr>
          <w:rFonts w:ascii="Times New Roman" w:hAnsi="Times New Roman"/>
          <w:sz w:val="24"/>
          <w:szCs w:val="24"/>
        </w:rPr>
        <w:t xml:space="preserve"> </w:t>
      </w:r>
      <w:r w:rsidR="00C6600A" w:rsidRPr="002A777A">
        <w:rPr>
          <w:rFonts w:ascii="Times New Roman" w:hAnsi="Times New Roman"/>
          <w:sz w:val="24"/>
          <w:szCs w:val="24"/>
        </w:rPr>
        <w:t xml:space="preserve">право </w:t>
      </w:r>
      <w:r w:rsidR="00C6600A"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C6600A"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6600A">
        <w:rPr>
          <w:rFonts w:ascii="Times New Roman" w:hAnsi="Times New Roman"/>
          <w:sz w:val="24"/>
          <w:szCs w:val="24"/>
        </w:rPr>
        <w:t xml:space="preserve"> </w:t>
      </w:r>
      <w:r w:rsidR="00C6600A" w:rsidRPr="00321E3B">
        <w:rPr>
          <w:rFonts w:ascii="Times New Roman" w:hAnsi="Times New Roman"/>
          <w:sz w:val="24"/>
          <w:szCs w:val="24"/>
        </w:rPr>
        <w:t xml:space="preserve">по одному договору не превышает </w:t>
      </w:r>
      <w:r w:rsidR="00C6600A">
        <w:rPr>
          <w:rFonts w:ascii="Times New Roman" w:hAnsi="Times New Roman"/>
          <w:sz w:val="24"/>
          <w:szCs w:val="24"/>
        </w:rPr>
        <w:t>6</w:t>
      </w:r>
      <w:r w:rsidR="00C6600A" w:rsidRPr="00321E3B">
        <w:rPr>
          <w:rFonts w:ascii="Times New Roman" w:hAnsi="Times New Roman"/>
          <w:sz w:val="24"/>
          <w:szCs w:val="24"/>
        </w:rPr>
        <w:t>0 млн. рублей (</w:t>
      </w:r>
      <w:r w:rsidR="00C6600A">
        <w:rPr>
          <w:rFonts w:ascii="Times New Roman" w:hAnsi="Times New Roman"/>
          <w:sz w:val="24"/>
          <w:szCs w:val="24"/>
        </w:rPr>
        <w:t>первый</w:t>
      </w:r>
      <w:r w:rsidR="00C6600A" w:rsidRPr="00321E3B">
        <w:rPr>
          <w:rFonts w:ascii="Times New Roman" w:hAnsi="Times New Roman"/>
          <w:sz w:val="24"/>
          <w:szCs w:val="24"/>
        </w:rPr>
        <w:t xml:space="preserve"> уровень ответственности</w:t>
      </w:r>
      <w:r w:rsidR="000E2029">
        <w:rPr>
          <w:rFonts w:ascii="Times New Roman" w:hAnsi="Times New Roman"/>
          <w:sz w:val="24"/>
          <w:szCs w:val="24"/>
        </w:rPr>
        <w:t xml:space="preserve"> </w:t>
      </w:r>
      <w:r w:rsidR="00C6600A" w:rsidRPr="00321E3B">
        <w:rPr>
          <w:rFonts w:ascii="Times New Roman" w:hAnsi="Times New Roman"/>
          <w:sz w:val="24"/>
          <w:szCs w:val="24"/>
        </w:rPr>
        <w:t>по возмещению вреда).</w:t>
      </w:r>
    </w:p>
    <w:bookmarkEnd w:id="1"/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77777777" w:rsidR="000603B4" w:rsidRPr="00F77093" w:rsidRDefault="000603B4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875F2D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163F4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26"/>
  </w:num>
  <w:num w:numId="5">
    <w:abstractNumId w:val="19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29"/>
  </w:num>
  <w:num w:numId="12">
    <w:abstractNumId w:val="28"/>
  </w:num>
  <w:num w:numId="13">
    <w:abstractNumId w:val="37"/>
  </w:num>
  <w:num w:numId="14">
    <w:abstractNumId w:val="20"/>
  </w:num>
  <w:num w:numId="15">
    <w:abstractNumId w:val="36"/>
  </w:num>
  <w:num w:numId="16">
    <w:abstractNumId w:val="24"/>
  </w:num>
  <w:num w:numId="17">
    <w:abstractNumId w:val="3"/>
  </w:num>
  <w:num w:numId="18">
    <w:abstractNumId w:val="4"/>
  </w:num>
  <w:num w:numId="19">
    <w:abstractNumId w:val="1"/>
  </w:num>
  <w:num w:numId="20">
    <w:abstractNumId w:val="14"/>
  </w:num>
  <w:num w:numId="21">
    <w:abstractNumId w:val="18"/>
  </w:num>
  <w:num w:numId="22">
    <w:abstractNumId w:val="25"/>
  </w:num>
  <w:num w:numId="23">
    <w:abstractNumId w:val="7"/>
  </w:num>
  <w:num w:numId="24">
    <w:abstractNumId w:val="30"/>
  </w:num>
  <w:num w:numId="25">
    <w:abstractNumId w:val="33"/>
  </w:num>
  <w:num w:numId="26">
    <w:abstractNumId w:val="0"/>
  </w:num>
  <w:num w:numId="27">
    <w:abstractNumId w:val="10"/>
  </w:num>
  <w:num w:numId="28">
    <w:abstractNumId w:val="32"/>
  </w:num>
  <w:num w:numId="29">
    <w:abstractNumId w:val="15"/>
  </w:num>
  <w:num w:numId="30">
    <w:abstractNumId w:val="5"/>
  </w:num>
  <w:num w:numId="31">
    <w:abstractNumId w:val="22"/>
  </w:num>
  <w:num w:numId="32">
    <w:abstractNumId w:val="34"/>
  </w:num>
  <w:num w:numId="33">
    <w:abstractNumId w:val="9"/>
  </w:num>
  <w:num w:numId="34">
    <w:abstractNumId w:val="6"/>
  </w:num>
  <w:num w:numId="35">
    <w:abstractNumId w:val="11"/>
  </w:num>
  <w:num w:numId="36">
    <w:abstractNumId w:val="21"/>
  </w:num>
  <w:num w:numId="37">
    <w:abstractNumId w:val="23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D3F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029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683F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1A4"/>
    <w:rsid w:val="00142951"/>
    <w:rsid w:val="00143358"/>
    <w:rsid w:val="001444E0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5976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9B8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F6C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77CF2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5B34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2E5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7DC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71B80"/>
    <w:rsid w:val="005720F8"/>
    <w:rsid w:val="005726D3"/>
    <w:rsid w:val="00572772"/>
    <w:rsid w:val="00574324"/>
    <w:rsid w:val="0057452D"/>
    <w:rsid w:val="00574C26"/>
    <w:rsid w:val="00575527"/>
    <w:rsid w:val="005759CC"/>
    <w:rsid w:val="00576D09"/>
    <w:rsid w:val="00577492"/>
    <w:rsid w:val="00577D68"/>
    <w:rsid w:val="005821F6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80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94E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39E"/>
    <w:rsid w:val="007D6D65"/>
    <w:rsid w:val="007D72C0"/>
    <w:rsid w:val="007D7759"/>
    <w:rsid w:val="007E0225"/>
    <w:rsid w:val="007E0FC2"/>
    <w:rsid w:val="007E1BBE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4AEB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5D26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56792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41FD"/>
    <w:rsid w:val="00AB4C92"/>
    <w:rsid w:val="00AB4DFE"/>
    <w:rsid w:val="00AB5161"/>
    <w:rsid w:val="00AB556E"/>
    <w:rsid w:val="00AB5C04"/>
    <w:rsid w:val="00AB605C"/>
    <w:rsid w:val="00AB61AB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34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AE6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AAE"/>
    <w:rsid w:val="00C65C52"/>
    <w:rsid w:val="00C6600A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509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0E93"/>
    <w:rsid w:val="00EF3A3D"/>
    <w:rsid w:val="00EF55EB"/>
    <w:rsid w:val="00EF5A93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136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4ADC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988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BA79-496E-4ACD-9C2A-BA629F97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71</cp:revision>
  <cp:lastPrinted>2022-01-24T07:28:00Z</cp:lastPrinted>
  <dcterms:created xsi:type="dcterms:W3CDTF">2021-10-07T10:59:00Z</dcterms:created>
  <dcterms:modified xsi:type="dcterms:W3CDTF">2022-01-24T09:49:00Z</dcterms:modified>
</cp:coreProperties>
</file>